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280CEBDC"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80EC0">
        <w:rPr>
          <w:b/>
          <w:noProof/>
          <w:sz w:val="24"/>
        </w:rPr>
        <w:t>6</w:t>
      </w:r>
      <w:r w:rsidRPr="003079EF">
        <w:rPr>
          <w:b/>
          <w:noProof/>
          <w:sz w:val="24"/>
        </w:rPr>
        <w:t>-e</w:t>
      </w:r>
      <w:r w:rsidR="00613F9B" w:rsidRPr="003079EF">
        <w:rPr>
          <w:b/>
          <w:i/>
          <w:noProof/>
          <w:sz w:val="28"/>
        </w:rPr>
        <w:tab/>
      </w:r>
      <w:r w:rsidR="008A397D" w:rsidRPr="008A397D">
        <w:rPr>
          <w:b/>
          <w:i/>
          <w:noProof/>
          <w:sz w:val="28"/>
          <w:lang w:eastAsia="ja-JP"/>
        </w:rPr>
        <w:t>R5-22461</w:t>
      </w:r>
      <w:r w:rsidR="00C84B1D">
        <w:rPr>
          <w:b/>
          <w:i/>
          <w:noProof/>
          <w:sz w:val="28"/>
          <w:lang w:eastAsia="ja-JP"/>
        </w:rPr>
        <w:t>3</w:t>
      </w:r>
    </w:p>
    <w:p w14:paraId="4491F182" w14:textId="6E20DC74"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80EC0">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A80EC0">
        <w:rPr>
          <w:b/>
          <w:noProof/>
          <w:sz w:val="24"/>
          <w:lang w:eastAsia="ja-JP"/>
        </w:rPr>
        <w:t>Aug</w:t>
      </w:r>
      <w:r w:rsidR="005A64EF" w:rsidRPr="0075720C">
        <w:rPr>
          <w:b/>
          <w:noProof/>
          <w:sz w:val="24"/>
          <w:lang w:eastAsia="ja-JP"/>
        </w:rPr>
        <w:t xml:space="preserve"> – </w:t>
      </w:r>
      <w:r w:rsidR="00A80EC0">
        <w:rPr>
          <w:b/>
          <w:noProof/>
          <w:sz w:val="24"/>
          <w:lang w:eastAsia="ja-JP"/>
        </w:rPr>
        <w:t>26</w:t>
      </w:r>
      <w:r w:rsidR="005A64EF" w:rsidRPr="0075720C">
        <w:rPr>
          <w:b/>
          <w:noProof/>
          <w:sz w:val="24"/>
          <w:vertAlign w:val="superscript"/>
          <w:lang w:eastAsia="ja-JP"/>
        </w:rPr>
        <w:t>th</w:t>
      </w:r>
      <w:r w:rsidR="005A64EF" w:rsidRPr="0075720C">
        <w:rPr>
          <w:b/>
          <w:noProof/>
          <w:sz w:val="24"/>
          <w:lang w:eastAsia="ja-JP"/>
        </w:rPr>
        <w:t xml:space="preserve"> </w:t>
      </w:r>
      <w:r w:rsidR="00A80EC0">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21BEAD4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MU discussion on 40 cm Quiet Zone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D376C41" w:rsidR="00954086" w:rsidRPr="00A4093A" w:rsidRDefault="00954086" w:rsidP="00954086">
      <w:pPr>
        <w:spacing w:before="120" w:after="120"/>
        <w:ind w:left="1985" w:hanging="1985"/>
        <w:rPr>
          <w:rFonts w:ascii="Arial" w:eastAsia="ＭＳ 明朝" w:hAnsi="Arial"/>
          <w:lang w:val="pt-BR"/>
        </w:rPr>
      </w:pPr>
      <w:r w:rsidRPr="00552C23">
        <w:rPr>
          <w:rFonts w:ascii="Arial" w:hAnsi="Arial"/>
          <w:b/>
          <w:lang w:val="pt-BR"/>
        </w:rPr>
        <w:t>Agenda Item:</w:t>
      </w:r>
      <w:r w:rsidRPr="00552C23">
        <w:rPr>
          <w:rFonts w:ascii="Arial" w:hAnsi="Arial"/>
          <w:lang w:val="pt-BR"/>
        </w:rPr>
        <w:tab/>
      </w:r>
      <w:r w:rsidRPr="00552C23">
        <w:rPr>
          <w:rFonts w:ascii="Arial" w:hAnsi="Arial"/>
          <w:lang w:val="pt-BR"/>
        </w:rPr>
        <w:tab/>
      </w:r>
      <w:r w:rsidRPr="00552C23">
        <w:rPr>
          <w:rFonts w:ascii="Arial" w:hAnsi="Arial"/>
          <w:lang w:val="pt-BR"/>
        </w:rPr>
        <w:tab/>
      </w:r>
      <w:r w:rsidR="008366D7" w:rsidRPr="00552C23">
        <w:rPr>
          <w:rFonts w:ascii="Arial" w:eastAsia="ＭＳ 明朝" w:hAnsi="Arial"/>
          <w:lang w:val="pt-BR"/>
        </w:rPr>
        <w:t>5.4.17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4C45E019" w:rsidR="00DA1C03" w:rsidRDefault="00DE27A1" w:rsidP="00BD4890">
      <w:pPr>
        <w:spacing w:before="120" w:after="120"/>
        <w:rPr>
          <w:rFonts w:eastAsiaTheme="minorEastAsia"/>
        </w:rPr>
      </w:pPr>
      <w:r>
        <w:rPr>
          <w:rFonts w:eastAsiaTheme="minorEastAsia" w:hint="eastAsia"/>
        </w:rPr>
        <w:t>I</w:t>
      </w:r>
      <w:r>
        <w:rPr>
          <w:rFonts w:eastAsiaTheme="minorEastAsia"/>
        </w:rPr>
        <w:t>n the past RAN5 meetings, QZ above 30 cm was discussed</w:t>
      </w:r>
      <w:r w:rsidR="00157675">
        <w:rPr>
          <w:rFonts w:eastAsiaTheme="minorEastAsia"/>
        </w:rPr>
        <w:t xml:space="preserve"> [1][2][3]</w:t>
      </w:r>
      <w:r w:rsidR="00CC2C3C">
        <w:rPr>
          <w:rFonts w:eastAsiaTheme="minorEastAsia"/>
        </w:rPr>
        <w:t>.</w:t>
      </w:r>
      <w:r>
        <w:rPr>
          <w:rFonts w:eastAsiaTheme="minorEastAsia"/>
        </w:rPr>
        <w:t xml:space="preserve"> </w:t>
      </w:r>
      <w:r w:rsidR="00CC2C3C">
        <w:rPr>
          <w:rFonts w:eastAsiaTheme="minorEastAsia"/>
        </w:rPr>
        <w:t>However,</w:t>
      </w:r>
      <w:r>
        <w:rPr>
          <w:rFonts w:eastAsiaTheme="minorEastAsia"/>
        </w:rPr>
        <w:t xml:space="preserve"> there is no concrete consensus on the MU value. </w:t>
      </w:r>
      <w:r w:rsidR="00B263C2">
        <w:rPr>
          <w:rFonts w:eastAsiaTheme="minorEastAsia"/>
        </w:rPr>
        <w:t>T</w:t>
      </w:r>
      <w:r w:rsidR="007076F4">
        <w:rPr>
          <w:rFonts w:eastAsiaTheme="minorEastAsia"/>
        </w:rPr>
        <w:t>his paper pro</w:t>
      </w:r>
      <w:r w:rsidR="00B263C2">
        <w:rPr>
          <w:rFonts w:eastAsiaTheme="minorEastAsia"/>
        </w:rPr>
        <w:t>vides</w:t>
      </w:r>
      <w:r w:rsidR="007076F4">
        <w:rPr>
          <w:rFonts w:eastAsiaTheme="minorEastAsia"/>
        </w:rPr>
        <w:t xml:space="preserve"> </w:t>
      </w:r>
      <w:r w:rsidR="001E5CC0">
        <w:rPr>
          <w:rFonts w:eastAsiaTheme="minorEastAsia"/>
        </w:rPr>
        <w:t xml:space="preserve">the MU discussion on </w:t>
      </w:r>
      <w:r w:rsidR="00CC2C3C">
        <w:rPr>
          <w:rFonts w:eastAsiaTheme="minorEastAsia"/>
        </w:rPr>
        <w:t>MU value</w:t>
      </w:r>
      <w:r w:rsidR="001E5CC0">
        <w:rPr>
          <w:rFonts w:eastAsiaTheme="minorEastAsia"/>
        </w:rPr>
        <w:t xml:space="preserve"> for </w:t>
      </w:r>
      <w:r w:rsidR="00CC2C3C">
        <w:rPr>
          <w:rFonts w:eastAsiaTheme="minorEastAsia"/>
        </w:rPr>
        <w:t>QZ</w:t>
      </w:r>
      <w:r w:rsidR="001E5CC0">
        <w:rPr>
          <w:rFonts w:eastAsiaTheme="minorEastAsia"/>
        </w:rPr>
        <w:t xml:space="preserve"> size </w:t>
      </w:r>
      <w:r w:rsidR="00CC2C3C">
        <w:rPr>
          <w:rFonts w:eastAsia="ＭＳ 明朝"/>
        </w:rPr>
        <w:t>=</w:t>
      </w:r>
      <w:r w:rsidR="001E5CC0">
        <w:rPr>
          <w:rFonts w:eastAsia="ＭＳ 明朝"/>
        </w:rPr>
        <w:t xml:space="preserve"> 40 cm.</w:t>
      </w:r>
    </w:p>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1BBC27A" w14:textId="35A17067" w:rsidR="00A57B10" w:rsidRDefault="001A3286" w:rsidP="007F03EB">
      <w:pPr>
        <w:spacing w:before="120" w:after="120"/>
        <w:rPr>
          <w:rFonts w:eastAsiaTheme="minorEastAsia"/>
        </w:rPr>
      </w:pPr>
      <w:bookmarkStart w:id="0" w:name="_Hlk60670583"/>
      <w:r>
        <w:rPr>
          <w:rFonts w:eastAsiaTheme="minorEastAsia" w:hint="eastAsia"/>
        </w:rPr>
        <w:t>W</w:t>
      </w:r>
      <w:r>
        <w:rPr>
          <w:rFonts w:eastAsiaTheme="minorEastAsia"/>
        </w:rPr>
        <w:t xml:space="preserve">hen the QZ size is extended to 40 cm in the current test systems which was originally designed for 30 cm QZ, it will increase the measurement uncertainty. </w:t>
      </w:r>
      <w:r w:rsidR="00904E68">
        <w:rPr>
          <w:rFonts w:eastAsiaTheme="minorEastAsia"/>
        </w:rPr>
        <w:t>TEVs</w:t>
      </w:r>
      <w:r w:rsidR="008473ED">
        <w:rPr>
          <w:rFonts w:eastAsiaTheme="minorEastAsia"/>
        </w:rPr>
        <w:t xml:space="preserve"> analyzed the increase of QoQZ and XPD uncertainty as below</w:t>
      </w:r>
      <w:r w:rsidR="00904E68">
        <w:rPr>
          <w:rFonts w:eastAsiaTheme="minorEastAsia"/>
        </w:rPr>
        <w:t xml:space="preserve"> [1][2][3]</w:t>
      </w:r>
      <w:r w:rsidR="008473ED">
        <w:rPr>
          <w:rFonts w:eastAsiaTheme="minorEastAsia"/>
        </w:rPr>
        <w:t>.</w:t>
      </w:r>
    </w:p>
    <w:p w14:paraId="408552ED" w14:textId="3EED6915" w:rsidR="006C1504" w:rsidRPr="006C1504" w:rsidRDefault="006C1504" w:rsidP="006C1504">
      <w:pPr>
        <w:spacing w:before="120" w:after="120"/>
        <w:ind w:leftChars="100" w:left="600" w:hangingChars="200" w:hanging="400"/>
        <w:rPr>
          <w:rFonts w:eastAsiaTheme="minorEastAsia"/>
          <w:b/>
          <w:shd w:val="pct15" w:color="auto" w:fill="FFFFFF"/>
        </w:rPr>
      </w:pPr>
      <w:r>
        <w:rPr>
          <w:rFonts w:eastAsiaTheme="minorEastAsia" w:hint="eastAsia"/>
          <w:lang w:val="en-GB"/>
        </w:rPr>
        <w:t>[</w:t>
      </w:r>
      <w:r>
        <w:rPr>
          <w:rFonts w:eastAsiaTheme="minorEastAsia"/>
          <w:lang w:val="en-GB"/>
        </w:rPr>
        <w:t>1]</w:t>
      </w:r>
      <w:r>
        <w:rPr>
          <w:rFonts w:eastAsiaTheme="minorEastAsia"/>
          <w:lang w:val="en-GB"/>
        </w:rPr>
        <w:tab/>
      </w:r>
      <w:bookmarkStart w:id="1" w:name="_Toc70514561"/>
      <w:bookmarkStart w:id="2" w:name="_Toc70514610"/>
      <w:bookmarkStart w:id="3" w:name="_Toc70514634"/>
      <w:bookmarkStart w:id="4" w:name="_Toc71284589"/>
      <w:bookmarkStart w:id="5" w:name="_Toc71284673"/>
      <w:bookmarkStart w:id="6" w:name="_Toc71289044"/>
      <w:bookmarkStart w:id="7" w:name="_Toc71295960"/>
      <w:bookmarkStart w:id="8" w:name="_Toc71298597"/>
      <w:bookmarkStart w:id="9" w:name="_Toc71299066"/>
      <w:bookmarkStart w:id="10" w:name="_Toc71355544"/>
      <w:bookmarkStart w:id="11" w:name="_Toc71356405"/>
      <w:r w:rsidRPr="006C1504">
        <w:rPr>
          <w:rFonts w:ascii="Arial" w:eastAsia="SimSun" w:hAnsi="Arial" w:cs="Arial"/>
          <w:b/>
          <w:shd w:val="pct15" w:color="auto" w:fill="FFFFFF"/>
          <w:lang w:eastAsia="zh-CN"/>
        </w:rPr>
        <w:t>Observation 3: the QZ extension of current test systems from 30cm to 40cm will require an increase of the Quiet Zone uncertainty contribution by 0.3dB.</w:t>
      </w:r>
      <w:bookmarkStart w:id="12" w:name="_Toc70514562"/>
      <w:bookmarkStart w:id="13" w:name="_Toc70514611"/>
      <w:bookmarkStart w:id="14" w:name="_Toc70514635"/>
      <w:bookmarkStart w:id="15" w:name="_Toc71284590"/>
      <w:bookmarkStart w:id="16" w:name="_Toc71284674"/>
      <w:bookmarkStart w:id="17" w:name="_Toc71289045"/>
      <w:bookmarkStart w:id="18" w:name="_Toc71295961"/>
      <w:bookmarkStart w:id="19" w:name="_Toc71298598"/>
      <w:bookmarkStart w:id="20" w:name="_Toc71299067"/>
      <w:bookmarkStart w:id="21" w:name="_Toc71355545"/>
      <w:bookmarkStart w:id="22" w:name="_Toc71356406"/>
      <w:bookmarkEnd w:id="1"/>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4CABB492" w14:textId="5DD0BEFD" w:rsidR="006C1504" w:rsidRPr="006C1504" w:rsidRDefault="006C1504" w:rsidP="006C1504">
      <w:pPr>
        <w:spacing w:before="120" w:after="120"/>
        <w:ind w:leftChars="300" w:left="600"/>
        <w:rPr>
          <w:rFonts w:eastAsiaTheme="minorEastAsia"/>
          <w:b/>
          <w:sz w:val="16"/>
          <w:szCs w:val="16"/>
          <w:shd w:val="pct15" w:color="auto" w:fill="FFFFFF"/>
        </w:rPr>
      </w:pPr>
      <w:r w:rsidRPr="006C1504">
        <w:rPr>
          <w:rFonts w:ascii="Arial" w:eastAsia="SimSun" w:hAnsi="Arial" w:cs="Arial"/>
          <w:b/>
          <w:shd w:val="pct15" w:color="auto" w:fill="FFFFFF"/>
          <w:lang w:eastAsia="zh-CN"/>
        </w:rPr>
        <w:t>Observation 4: the QZ extension of current test systems from 30cm to 40cm will require an increase of the Influence of the XPD uncertainty contribution by 0.01dB.</w:t>
      </w:r>
    </w:p>
    <w:p w14:paraId="2192FD1C" w14:textId="036D619A" w:rsidR="0058709F" w:rsidRPr="00552C23" w:rsidRDefault="00D22D85" w:rsidP="00D11B90">
      <w:pPr>
        <w:spacing w:before="120" w:after="120"/>
        <w:ind w:leftChars="100" w:left="600" w:hangingChars="200" w:hanging="400"/>
        <w:rPr>
          <w:rFonts w:eastAsia="SimSun"/>
          <w:b/>
          <w:shd w:val="pct15" w:color="auto" w:fill="FFFFFF"/>
          <w:lang w:eastAsia="zh-CN"/>
        </w:rPr>
      </w:pPr>
      <w:r w:rsidRPr="00552C23">
        <w:rPr>
          <w:rFonts w:eastAsiaTheme="minorEastAsia" w:hint="eastAsia"/>
          <w:lang w:val="en-GB"/>
        </w:rPr>
        <w:t>[</w:t>
      </w:r>
      <w:r w:rsidR="00904E68">
        <w:rPr>
          <w:rFonts w:eastAsiaTheme="minorEastAsia"/>
          <w:lang w:val="en-GB"/>
        </w:rPr>
        <w:t>2</w:t>
      </w:r>
      <w:r w:rsidRPr="00552C23">
        <w:rPr>
          <w:rFonts w:eastAsiaTheme="minorEastAsia"/>
          <w:lang w:val="en-GB"/>
        </w:rPr>
        <w:t>]</w:t>
      </w:r>
      <w:r w:rsidRPr="00552C23">
        <w:rPr>
          <w:rFonts w:eastAsiaTheme="minorEastAsia"/>
          <w:lang w:val="en-GB"/>
        </w:rPr>
        <w:tab/>
      </w:r>
      <w:r w:rsidR="0058709F" w:rsidRPr="00552C23">
        <w:rPr>
          <w:rFonts w:eastAsia="SimSun"/>
          <w:b/>
          <w:shd w:val="pct15" w:color="auto" w:fill="FFFFFF"/>
          <w:lang w:eastAsia="zh-CN"/>
        </w:rPr>
        <w:t>Proposal 1: Keep the QoQZ MUs (EIRP/EIS/TRP/spherical coverage) for 40cm QZ the same as for the 30cm QZ, i.e., 0.6dB for P1-P7 and 0.4dB for P1</w:t>
      </w:r>
      <w:r w:rsidR="00D11B90" w:rsidRPr="00552C23">
        <w:rPr>
          <w:rFonts w:eastAsia="SimSun"/>
          <w:b/>
          <w:shd w:val="pct15" w:color="auto" w:fill="FFFFFF"/>
          <w:lang w:eastAsia="zh-CN"/>
        </w:rPr>
        <w:t>, for up to 49 GHz.</w:t>
      </w:r>
    </w:p>
    <w:p w14:paraId="67B14C12" w14:textId="60D3626D" w:rsidR="003D7086" w:rsidRPr="003D7086" w:rsidRDefault="003D7086" w:rsidP="003D7086">
      <w:pPr>
        <w:spacing w:before="120" w:after="120"/>
        <w:ind w:leftChars="300" w:left="600"/>
        <w:rPr>
          <w:rFonts w:eastAsia="SimSun"/>
          <w:b/>
          <w:shd w:val="pct15" w:color="auto" w:fill="FFFFFF"/>
          <w:lang w:val="en-GB" w:eastAsia="zh-CN"/>
        </w:rPr>
      </w:pPr>
      <w:bookmarkStart w:id="23" w:name="_Ref102725132"/>
      <w:r w:rsidRPr="00552C23">
        <w:rPr>
          <w:rFonts w:eastAsia="SimSun"/>
          <w:b/>
          <w:shd w:val="pct15" w:color="auto" w:fill="FFFFFF"/>
          <w:lang w:val="en-GB" w:eastAsia="zh-CN"/>
        </w:rPr>
        <w:t>Proposal 2: Relax the XPD MUs for the 40 cm QZ, i.e., define an XPD MU of [0.03] dB for frequencies up to 40.8 GHz and [</w:t>
      </w:r>
      <w:r w:rsidR="00BD27C0" w:rsidRPr="00552C23">
        <w:rPr>
          <w:rFonts w:eastAsia="SimSun"/>
          <w:b/>
          <w:shd w:val="pct15" w:color="auto" w:fill="FFFFFF"/>
          <w:lang w:val="en-GB" w:eastAsia="zh-CN"/>
        </w:rPr>
        <w:t>0.08</w:t>
      </w:r>
      <w:r w:rsidRPr="00552C23">
        <w:rPr>
          <w:rFonts w:eastAsia="SimSun"/>
          <w:b/>
          <w:shd w:val="pct15" w:color="auto" w:fill="FFFFFF"/>
          <w:lang w:val="en-GB" w:eastAsia="zh-CN"/>
        </w:rPr>
        <w:t>] dB for frequencies beyond 40.8 </w:t>
      </w:r>
      <w:bookmarkEnd w:id="23"/>
      <w:r w:rsidR="00D11B90" w:rsidRPr="00552C23">
        <w:rPr>
          <w:rFonts w:eastAsia="SimSun"/>
          <w:b/>
          <w:shd w:val="pct15" w:color="auto" w:fill="FFFFFF"/>
          <w:lang w:val="en-GB" w:eastAsia="zh-CN"/>
        </w:rPr>
        <w:t>GHz and up to 49GHz.</w:t>
      </w:r>
    </w:p>
    <w:p w14:paraId="2CEE7A8F" w14:textId="1B08A9D7" w:rsidR="00904E68" w:rsidRPr="00904E68" w:rsidRDefault="00904E68" w:rsidP="00904E68">
      <w:pPr>
        <w:spacing w:before="120" w:after="120"/>
        <w:ind w:leftChars="100" w:left="600" w:hangingChars="200" w:hanging="400"/>
        <w:rPr>
          <w:rFonts w:eastAsia="SimSun"/>
          <w:b/>
          <w:bCs/>
          <w:shd w:val="pct15" w:color="auto" w:fill="FFFFFF"/>
          <w:lang w:eastAsia="zh-CN"/>
        </w:rPr>
      </w:pPr>
      <w:r w:rsidRPr="00552C23">
        <w:rPr>
          <w:rFonts w:eastAsiaTheme="minorEastAsia" w:hint="eastAsia"/>
          <w:lang w:val="en-GB"/>
        </w:rPr>
        <w:t>[</w:t>
      </w:r>
      <w:r>
        <w:rPr>
          <w:rFonts w:eastAsiaTheme="minorEastAsia"/>
          <w:lang w:val="en-GB"/>
        </w:rPr>
        <w:t>3</w:t>
      </w:r>
      <w:r w:rsidRPr="00552C23">
        <w:rPr>
          <w:rFonts w:eastAsiaTheme="minorEastAsia"/>
          <w:lang w:val="en-GB"/>
        </w:rPr>
        <w:t>]</w:t>
      </w:r>
      <w:r w:rsidRPr="00552C23">
        <w:rPr>
          <w:rFonts w:eastAsiaTheme="minorEastAsia"/>
          <w:lang w:val="en-GB"/>
        </w:rPr>
        <w:tab/>
      </w:r>
      <w:r w:rsidRPr="00904E68">
        <w:rPr>
          <w:b/>
          <w:bCs/>
          <w:shd w:val="pct15" w:color="auto" w:fill="FFFFFF"/>
        </w:rPr>
        <w:t>Observation 1: An increase of QoQZ uncertainty is expected as 0.1 dB when the QZ size is extended from 30 cm to 40 cm.</w:t>
      </w:r>
    </w:p>
    <w:p w14:paraId="53E08A81" w14:textId="14D10908" w:rsidR="00904E68" w:rsidRPr="00904E68" w:rsidRDefault="00904E68" w:rsidP="00904E68">
      <w:pPr>
        <w:spacing w:before="120" w:after="120"/>
        <w:ind w:leftChars="300" w:left="600"/>
        <w:rPr>
          <w:rFonts w:eastAsia="SimSun"/>
          <w:b/>
          <w:bCs/>
          <w:shd w:val="pct15" w:color="auto" w:fill="FFFFFF"/>
          <w:lang w:val="en-GB" w:eastAsia="zh-CN"/>
        </w:rPr>
      </w:pPr>
      <w:r w:rsidRPr="00904E68">
        <w:rPr>
          <w:b/>
          <w:bCs/>
          <w:shd w:val="pct15" w:color="auto" w:fill="FFFFFF"/>
        </w:rPr>
        <w:t>Observation 2: An increase of XPD uncertainty is expected as 0.01 dB to 0.03 dB when the QZ size is extended from 30 cm to 40 cm.</w:t>
      </w:r>
    </w:p>
    <w:p w14:paraId="001F6754" w14:textId="28940456" w:rsidR="001E5CC0" w:rsidRPr="00552C23" w:rsidRDefault="005927AC" w:rsidP="007F03EB">
      <w:pPr>
        <w:spacing w:before="120" w:after="120"/>
        <w:rPr>
          <w:rFonts w:eastAsiaTheme="minorEastAsia"/>
        </w:rPr>
      </w:pPr>
      <w:r w:rsidRPr="00552C23">
        <w:rPr>
          <w:rFonts w:eastAsiaTheme="minorEastAsia"/>
        </w:rPr>
        <w:t xml:space="preserve">We propose to adopt the </w:t>
      </w:r>
      <w:r w:rsidR="00904E68">
        <w:rPr>
          <w:rFonts w:eastAsiaTheme="minorEastAsia"/>
        </w:rPr>
        <w:t>largest</w:t>
      </w:r>
      <w:r w:rsidRPr="00552C23">
        <w:rPr>
          <w:rFonts w:eastAsiaTheme="minorEastAsia"/>
        </w:rPr>
        <w:t xml:space="preserve"> </w:t>
      </w:r>
      <w:r w:rsidR="00BE26C0" w:rsidRPr="00552C23">
        <w:rPr>
          <w:rFonts w:eastAsiaTheme="minorEastAsia"/>
        </w:rPr>
        <w:t xml:space="preserve">MU </w:t>
      </w:r>
      <w:r w:rsidRPr="00552C23">
        <w:rPr>
          <w:rFonts w:eastAsiaTheme="minorEastAsia"/>
        </w:rPr>
        <w:t xml:space="preserve">value </w:t>
      </w:r>
      <w:r w:rsidR="00904E68">
        <w:rPr>
          <w:rFonts w:eastAsiaTheme="minorEastAsia"/>
        </w:rPr>
        <w:t>among the analyses of all TEVs as shown in the following table</w:t>
      </w:r>
      <w:r w:rsidRPr="00552C23">
        <w:rPr>
          <w:rFonts w:eastAsiaTheme="minorEastAsia"/>
        </w:rPr>
        <w:t>.</w:t>
      </w:r>
    </w:p>
    <w:p w14:paraId="30871BDB" w14:textId="213B7BD0" w:rsidR="005934BD" w:rsidRPr="00552C23" w:rsidRDefault="005934BD" w:rsidP="005934BD">
      <w:pPr>
        <w:pStyle w:val="af0"/>
        <w:jc w:val="center"/>
        <w:rPr>
          <w:rFonts w:eastAsiaTheme="minorEastAsia"/>
        </w:rPr>
      </w:pPr>
      <w:bookmarkStart w:id="24" w:name="_Ref84607641"/>
      <w:r w:rsidRPr="00552C23">
        <w:t xml:space="preserve">Table </w:t>
      </w:r>
      <w:fldSimple w:instr=" SEQ Table \* ARABIC ">
        <w:r w:rsidR="00904E68">
          <w:rPr>
            <w:noProof/>
          </w:rPr>
          <w:t>1</w:t>
        </w:r>
      </w:fldSimple>
      <w:bookmarkEnd w:id="24"/>
      <w:r w:rsidRPr="00552C23">
        <w:t xml:space="preserve"> </w:t>
      </w:r>
      <w:r w:rsidR="002E78CA" w:rsidRPr="00552C23">
        <w:t>Increase of QoQZ</w:t>
      </w:r>
      <w:r w:rsidR="002E4F55" w:rsidRPr="00552C23">
        <w:t xml:space="preserve"> and XPD </w:t>
      </w:r>
      <w:r w:rsidR="002E78CA" w:rsidRPr="00552C23">
        <w:t xml:space="preserve">from </w:t>
      </w:r>
      <w:r w:rsidR="00447545" w:rsidRPr="00552C23">
        <w:t xml:space="preserve">QZ size = </w:t>
      </w:r>
      <w:r w:rsidR="002E78CA" w:rsidRPr="00552C23">
        <w:t xml:space="preserve">30 cm to </w:t>
      </w:r>
      <w:r w:rsidR="00447545" w:rsidRPr="00552C23">
        <w:t xml:space="preserve">QZ size = </w:t>
      </w:r>
      <w:r w:rsidR="002E78CA" w:rsidRPr="00552C23">
        <w:t>40 cm</w:t>
      </w:r>
      <w:r w:rsidR="00D11B90" w:rsidRPr="00552C23">
        <w:t xml:space="preserve"> for frequencies up to 40.8 GHz</w:t>
      </w:r>
    </w:p>
    <w:tbl>
      <w:tblPr>
        <w:tblStyle w:val="aff2"/>
        <w:tblW w:w="8760" w:type="dxa"/>
        <w:jc w:val="center"/>
        <w:tblLayout w:type="fixed"/>
        <w:tblLook w:val="04A0" w:firstRow="1" w:lastRow="0" w:firstColumn="1" w:lastColumn="0" w:noHBand="0" w:noVBand="1"/>
      </w:tblPr>
      <w:tblGrid>
        <w:gridCol w:w="2211"/>
        <w:gridCol w:w="1474"/>
        <w:gridCol w:w="1474"/>
        <w:gridCol w:w="1474"/>
        <w:gridCol w:w="2127"/>
      </w:tblGrid>
      <w:tr w:rsidR="002E4F55" w:rsidRPr="00552C23" w14:paraId="02B8DC1E" w14:textId="77777777" w:rsidTr="003D7086">
        <w:trPr>
          <w:trHeight w:val="312"/>
          <w:jc w:val="center"/>
        </w:trPr>
        <w:tc>
          <w:tcPr>
            <w:tcW w:w="2211" w:type="dxa"/>
            <w:vAlign w:val="center"/>
          </w:tcPr>
          <w:p w14:paraId="0F2371EC" w14:textId="1D341005"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Uncertainty source</w:t>
            </w:r>
          </w:p>
        </w:tc>
        <w:tc>
          <w:tcPr>
            <w:tcW w:w="1474" w:type="dxa"/>
            <w:vAlign w:val="center"/>
          </w:tcPr>
          <w:p w14:paraId="10403A4A" w14:textId="0246E9A2"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TE1 [</w:t>
            </w:r>
            <w:r w:rsidR="006C1504" w:rsidRPr="00552C23">
              <w:rPr>
                <w:rFonts w:ascii="Arial" w:eastAsiaTheme="minorEastAsia" w:hAnsi="Arial" w:cs="Arial"/>
                <w:b/>
                <w:bCs/>
                <w:sz w:val="18"/>
                <w:szCs w:val="18"/>
              </w:rPr>
              <w:t>1</w:t>
            </w:r>
            <w:r w:rsidRPr="00552C23">
              <w:rPr>
                <w:rFonts w:ascii="Arial" w:eastAsiaTheme="minorEastAsia" w:hAnsi="Arial" w:cs="Arial"/>
                <w:b/>
                <w:bCs/>
                <w:sz w:val="18"/>
                <w:szCs w:val="18"/>
              </w:rPr>
              <w:t>]</w:t>
            </w:r>
          </w:p>
        </w:tc>
        <w:tc>
          <w:tcPr>
            <w:tcW w:w="1474" w:type="dxa"/>
            <w:vAlign w:val="center"/>
          </w:tcPr>
          <w:p w14:paraId="0B08D0AC" w14:textId="48802EEB"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 xml:space="preserve">TE2 </w:t>
            </w:r>
            <w:r w:rsidR="00D22D85" w:rsidRPr="00552C23">
              <w:rPr>
                <w:rFonts w:ascii="Arial" w:eastAsiaTheme="minorEastAsia" w:hAnsi="Arial" w:cs="Arial"/>
                <w:b/>
                <w:bCs/>
                <w:sz w:val="18"/>
                <w:szCs w:val="18"/>
              </w:rPr>
              <w:t>[</w:t>
            </w:r>
            <w:r w:rsidR="00904E68">
              <w:rPr>
                <w:rFonts w:ascii="Arial" w:eastAsiaTheme="minorEastAsia" w:hAnsi="Arial" w:cs="Arial"/>
                <w:b/>
                <w:bCs/>
                <w:sz w:val="18"/>
                <w:szCs w:val="18"/>
              </w:rPr>
              <w:t>2</w:t>
            </w:r>
            <w:r w:rsidR="00D22D85" w:rsidRPr="00552C23">
              <w:rPr>
                <w:rFonts w:ascii="Arial" w:eastAsiaTheme="minorEastAsia" w:hAnsi="Arial" w:cs="Arial"/>
                <w:b/>
                <w:bCs/>
                <w:sz w:val="18"/>
                <w:szCs w:val="18"/>
              </w:rPr>
              <w:t>]</w:t>
            </w:r>
          </w:p>
        </w:tc>
        <w:tc>
          <w:tcPr>
            <w:tcW w:w="1474" w:type="dxa"/>
            <w:vAlign w:val="center"/>
          </w:tcPr>
          <w:p w14:paraId="6C3A1B44" w14:textId="1B7ECF1D" w:rsidR="002E4F55" w:rsidRPr="00552C23" w:rsidRDefault="002E4F55" w:rsidP="00904E68">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TE3</w:t>
            </w:r>
            <w:r w:rsidR="00904E68">
              <w:rPr>
                <w:rFonts w:ascii="Arial" w:eastAsiaTheme="minorEastAsia" w:hAnsi="Arial" w:cs="Arial"/>
                <w:b/>
                <w:bCs/>
                <w:sz w:val="18"/>
                <w:szCs w:val="18"/>
              </w:rPr>
              <w:t xml:space="preserve"> [3]</w:t>
            </w:r>
          </w:p>
        </w:tc>
        <w:tc>
          <w:tcPr>
            <w:tcW w:w="2127" w:type="dxa"/>
            <w:vAlign w:val="center"/>
          </w:tcPr>
          <w:p w14:paraId="0C34F62B" w14:textId="1A0D9118" w:rsidR="002E4F55" w:rsidRPr="00552C23" w:rsidRDefault="002E4F55" w:rsidP="002E4F55">
            <w:pPr>
              <w:spacing w:beforeLines="0" w:before="0" w:afterLines="0" w:after="0"/>
              <w:jc w:val="center"/>
              <w:rPr>
                <w:rFonts w:ascii="Arial" w:eastAsiaTheme="minorEastAsia" w:hAnsi="Arial" w:cs="Arial"/>
                <w:b/>
                <w:bCs/>
                <w:sz w:val="18"/>
                <w:szCs w:val="18"/>
              </w:rPr>
            </w:pPr>
            <w:r w:rsidRPr="00552C23">
              <w:rPr>
                <w:rFonts w:ascii="Arial" w:eastAsiaTheme="minorEastAsia" w:hAnsi="Arial" w:cs="Arial"/>
                <w:b/>
                <w:bCs/>
                <w:sz w:val="18"/>
                <w:szCs w:val="18"/>
              </w:rPr>
              <w:t>Max {TE1, TE2, TE3}</w:t>
            </w:r>
          </w:p>
        </w:tc>
      </w:tr>
      <w:tr w:rsidR="002E4F55" w:rsidRPr="00552C23" w14:paraId="0A3F4963" w14:textId="42EC6B3C" w:rsidTr="003D7086">
        <w:trPr>
          <w:jc w:val="center"/>
        </w:trPr>
        <w:tc>
          <w:tcPr>
            <w:tcW w:w="2211" w:type="dxa"/>
            <w:vAlign w:val="center"/>
          </w:tcPr>
          <w:p w14:paraId="2F5F17C8" w14:textId="039CD951"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Quality of Quiet Zone</w:t>
            </w:r>
          </w:p>
        </w:tc>
        <w:tc>
          <w:tcPr>
            <w:tcW w:w="1474" w:type="dxa"/>
            <w:shd w:val="clear" w:color="auto" w:fill="auto"/>
            <w:vAlign w:val="center"/>
          </w:tcPr>
          <w:p w14:paraId="141A9A51" w14:textId="6E8FD41C"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w:t>
            </w:r>
            <w:r w:rsidR="006C1504" w:rsidRPr="00552C23">
              <w:rPr>
                <w:rFonts w:ascii="Arial" w:eastAsiaTheme="minorEastAsia" w:hAnsi="Arial" w:cs="Arial"/>
                <w:sz w:val="18"/>
                <w:szCs w:val="18"/>
              </w:rPr>
              <w:t>3</w:t>
            </w:r>
            <w:r w:rsidRPr="00552C23">
              <w:rPr>
                <w:rFonts w:ascii="Arial" w:eastAsiaTheme="minorEastAsia" w:hAnsi="Arial" w:cs="Arial"/>
                <w:sz w:val="18"/>
                <w:szCs w:val="18"/>
              </w:rPr>
              <w:t xml:space="preserve"> dB</w:t>
            </w:r>
          </w:p>
        </w:tc>
        <w:tc>
          <w:tcPr>
            <w:tcW w:w="1474" w:type="dxa"/>
            <w:shd w:val="clear" w:color="auto" w:fill="auto"/>
            <w:vAlign w:val="center"/>
          </w:tcPr>
          <w:p w14:paraId="2BB72CE5" w14:textId="22C9C564" w:rsidR="002E4F55" w:rsidRPr="00552C23" w:rsidRDefault="003D7086"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w:t>
            </w:r>
            <w:r w:rsidR="002E4F55" w:rsidRPr="00552C23">
              <w:rPr>
                <w:rFonts w:ascii="Arial" w:eastAsiaTheme="minorEastAsia" w:hAnsi="Arial" w:cs="Arial"/>
                <w:sz w:val="18"/>
                <w:szCs w:val="18"/>
              </w:rPr>
              <w:t xml:space="preserve"> dB</w:t>
            </w:r>
          </w:p>
        </w:tc>
        <w:tc>
          <w:tcPr>
            <w:tcW w:w="1474" w:type="dxa"/>
            <w:shd w:val="clear" w:color="auto" w:fill="auto"/>
            <w:vAlign w:val="center"/>
          </w:tcPr>
          <w:p w14:paraId="21850FEA" w14:textId="4E72DF4E" w:rsidR="002E4F55"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0.1</w:t>
            </w:r>
            <w:r w:rsidR="002E4F55" w:rsidRPr="00552C23">
              <w:rPr>
                <w:rFonts w:ascii="Arial" w:eastAsiaTheme="minorEastAsia" w:hAnsi="Arial" w:cs="Arial"/>
                <w:sz w:val="18"/>
                <w:szCs w:val="18"/>
              </w:rPr>
              <w:t xml:space="preserve"> dB</w:t>
            </w:r>
          </w:p>
        </w:tc>
        <w:tc>
          <w:tcPr>
            <w:tcW w:w="2127" w:type="dxa"/>
            <w:shd w:val="clear" w:color="auto" w:fill="auto"/>
            <w:vAlign w:val="center"/>
          </w:tcPr>
          <w:p w14:paraId="365EFD23" w14:textId="50B5C34E" w:rsidR="002E4F55" w:rsidRPr="00552C23" w:rsidRDefault="002E4F55"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hint="eastAsia"/>
                <w:sz w:val="18"/>
                <w:szCs w:val="18"/>
              </w:rPr>
              <w:t>0</w:t>
            </w:r>
            <w:r w:rsidRPr="00552C23">
              <w:rPr>
                <w:rFonts w:ascii="Arial" w:eastAsiaTheme="minorEastAsia" w:hAnsi="Arial" w:cs="Arial"/>
                <w:sz w:val="18"/>
                <w:szCs w:val="18"/>
              </w:rPr>
              <w:t>.3 dB</w:t>
            </w:r>
          </w:p>
        </w:tc>
      </w:tr>
      <w:tr w:rsidR="003D7086" w:rsidRPr="00552C23" w14:paraId="6068D9B3" w14:textId="77777777" w:rsidTr="003D7086">
        <w:trPr>
          <w:jc w:val="center"/>
        </w:trPr>
        <w:tc>
          <w:tcPr>
            <w:tcW w:w="2211" w:type="dxa"/>
            <w:vAlign w:val="center"/>
          </w:tcPr>
          <w:p w14:paraId="3EDE4CAF" w14:textId="20215651" w:rsidR="003D7086" w:rsidRPr="00552C23" w:rsidRDefault="003D7086"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 xml:space="preserve">XPD </w:t>
            </w:r>
            <w:r w:rsidR="00D11B90" w:rsidRPr="00552C23">
              <w:rPr>
                <w:rFonts w:ascii="Arial" w:eastAsiaTheme="minorEastAsia" w:hAnsi="Arial" w:cs="Arial"/>
                <w:sz w:val="18"/>
                <w:szCs w:val="18"/>
              </w:rPr>
              <w:t>uncertainty</w:t>
            </w:r>
          </w:p>
        </w:tc>
        <w:tc>
          <w:tcPr>
            <w:tcW w:w="1474" w:type="dxa"/>
            <w:shd w:val="clear" w:color="auto" w:fill="auto"/>
            <w:vAlign w:val="center"/>
          </w:tcPr>
          <w:p w14:paraId="7130B195" w14:textId="006BB67D"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w:t>
            </w:r>
            <w:r w:rsidR="003709CF">
              <w:rPr>
                <w:rFonts w:ascii="Arial" w:eastAsiaTheme="minorEastAsia" w:hAnsi="Arial" w:cs="Arial"/>
                <w:sz w:val="18"/>
                <w:szCs w:val="18"/>
              </w:rPr>
              <w:t>1</w:t>
            </w:r>
            <w:r w:rsidRPr="00552C23">
              <w:rPr>
                <w:rFonts w:ascii="Arial" w:eastAsiaTheme="minorEastAsia" w:hAnsi="Arial" w:cs="Arial"/>
                <w:sz w:val="18"/>
                <w:szCs w:val="18"/>
              </w:rPr>
              <w:t xml:space="preserve"> </w:t>
            </w:r>
            <w:r w:rsidR="003D7086" w:rsidRPr="00552C23">
              <w:rPr>
                <w:rFonts w:ascii="Arial" w:eastAsiaTheme="minorEastAsia" w:hAnsi="Arial" w:cs="Arial"/>
                <w:sz w:val="18"/>
                <w:szCs w:val="18"/>
              </w:rPr>
              <w:t>dB</w:t>
            </w:r>
          </w:p>
        </w:tc>
        <w:tc>
          <w:tcPr>
            <w:tcW w:w="1474" w:type="dxa"/>
            <w:shd w:val="clear" w:color="auto" w:fill="auto"/>
            <w:vAlign w:val="center"/>
          </w:tcPr>
          <w:p w14:paraId="7419A36D" w14:textId="1B96CBF9" w:rsidR="003D7086" w:rsidRPr="00552C23" w:rsidRDefault="003709CF" w:rsidP="002E4F55">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D11B90" w:rsidRPr="00552C23">
              <w:rPr>
                <w:rFonts w:ascii="Arial" w:eastAsiaTheme="minorEastAsia" w:hAnsi="Arial" w:cs="Arial"/>
                <w:sz w:val="18"/>
                <w:szCs w:val="18"/>
              </w:rPr>
              <w:t>0.0</w:t>
            </w:r>
            <w:r>
              <w:rPr>
                <w:rFonts w:ascii="Arial" w:eastAsiaTheme="minorEastAsia" w:hAnsi="Arial" w:cs="Arial"/>
                <w:sz w:val="18"/>
                <w:szCs w:val="18"/>
              </w:rPr>
              <w:t>2]</w:t>
            </w:r>
            <w:r w:rsidR="00762B6F" w:rsidRPr="00552C23">
              <w:rPr>
                <w:rFonts w:ascii="Arial" w:eastAsiaTheme="minorEastAsia" w:hAnsi="Arial" w:cs="Arial"/>
                <w:sz w:val="18"/>
                <w:szCs w:val="18"/>
              </w:rPr>
              <w:t xml:space="preserve"> dB</w:t>
            </w:r>
          </w:p>
        </w:tc>
        <w:tc>
          <w:tcPr>
            <w:tcW w:w="1474" w:type="dxa"/>
            <w:shd w:val="clear" w:color="auto" w:fill="auto"/>
            <w:vAlign w:val="center"/>
          </w:tcPr>
          <w:p w14:paraId="169F8802" w14:textId="5D3CE389"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w:t>
            </w:r>
            <w:r w:rsidR="003709CF">
              <w:rPr>
                <w:rFonts w:ascii="Arial" w:eastAsiaTheme="minorEastAsia" w:hAnsi="Arial" w:cs="Arial"/>
                <w:sz w:val="18"/>
                <w:szCs w:val="18"/>
              </w:rPr>
              <w:t>2</w:t>
            </w:r>
            <w:r w:rsidR="003D7086" w:rsidRPr="00552C23">
              <w:rPr>
                <w:rFonts w:ascii="Arial" w:eastAsiaTheme="minorEastAsia" w:hAnsi="Arial" w:cs="Arial"/>
                <w:sz w:val="18"/>
                <w:szCs w:val="18"/>
              </w:rPr>
              <w:t xml:space="preserve"> dB</w:t>
            </w:r>
          </w:p>
        </w:tc>
        <w:tc>
          <w:tcPr>
            <w:tcW w:w="2127" w:type="dxa"/>
            <w:shd w:val="clear" w:color="auto" w:fill="auto"/>
            <w:vAlign w:val="center"/>
          </w:tcPr>
          <w:p w14:paraId="01316E80" w14:textId="71885067" w:rsidR="003D7086" w:rsidRPr="00552C23" w:rsidRDefault="00D11B90" w:rsidP="002E4F55">
            <w:pPr>
              <w:spacing w:beforeLines="0" w:before="0" w:afterLines="0" w:after="0"/>
              <w:jc w:val="center"/>
              <w:rPr>
                <w:rFonts w:ascii="Arial" w:eastAsiaTheme="minorEastAsia" w:hAnsi="Arial" w:cs="Arial"/>
                <w:sz w:val="18"/>
                <w:szCs w:val="18"/>
              </w:rPr>
            </w:pPr>
            <w:r w:rsidRPr="00552C23">
              <w:rPr>
                <w:rFonts w:ascii="Arial" w:eastAsiaTheme="minorEastAsia" w:hAnsi="Arial" w:cs="Arial"/>
                <w:sz w:val="18"/>
                <w:szCs w:val="18"/>
              </w:rPr>
              <w:t>0.0</w:t>
            </w:r>
            <w:r w:rsidR="003709CF">
              <w:rPr>
                <w:rFonts w:ascii="Arial" w:eastAsiaTheme="minorEastAsia" w:hAnsi="Arial" w:cs="Arial"/>
                <w:sz w:val="18"/>
                <w:szCs w:val="18"/>
              </w:rPr>
              <w:t>2</w:t>
            </w:r>
            <w:r w:rsidR="003D7086" w:rsidRPr="00552C23">
              <w:rPr>
                <w:rFonts w:ascii="Arial" w:eastAsiaTheme="minorEastAsia" w:hAnsi="Arial" w:cs="Arial"/>
                <w:sz w:val="18"/>
                <w:szCs w:val="18"/>
              </w:rPr>
              <w:t xml:space="preserve"> dB</w:t>
            </w:r>
          </w:p>
        </w:tc>
      </w:tr>
      <w:tr w:rsidR="003709CF" w:rsidRPr="00552C23" w14:paraId="32EE2823" w14:textId="77777777" w:rsidTr="003709CF">
        <w:trPr>
          <w:jc w:val="center"/>
        </w:trPr>
        <w:tc>
          <w:tcPr>
            <w:tcW w:w="8760" w:type="dxa"/>
            <w:gridSpan w:val="5"/>
            <w:vAlign w:val="center"/>
          </w:tcPr>
          <w:p w14:paraId="41E96C57" w14:textId="62D5AD8C" w:rsidR="003709CF" w:rsidRPr="00552C23" w:rsidRDefault="003709CF" w:rsidP="003709CF">
            <w:pPr>
              <w:spacing w:beforeLines="0" w:before="0" w:afterLines="0" w:after="0"/>
              <w:ind w:left="630" w:hangingChars="350" w:hanging="63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ote 1:</w:t>
            </w:r>
            <w:r>
              <w:rPr>
                <w:rFonts w:ascii="Arial" w:eastAsiaTheme="minorEastAsia" w:hAnsi="Arial" w:cs="Arial"/>
                <w:sz w:val="18"/>
                <w:szCs w:val="18"/>
              </w:rPr>
              <w:tab/>
              <w:t>The values for XPD uncertainty are the increasement from 0.01 dB which is the XPD uncertainty for PC3 and default test cases.</w:t>
            </w:r>
          </w:p>
        </w:tc>
      </w:tr>
    </w:tbl>
    <w:p w14:paraId="30B87B0A" w14:textId="362C3B28" w:rsidR="002E4F55" w:rsidRPr="00552C23" w:rsidRDefault="002E4F55" w:rsidP="002E4F55">
      <w:pPr>
        <w:pStyle w:val="af0"/>
        <w:rPr>
          <w:rFonts w:eastAsiaTheme="minorEastAsia"/>
        </w:rPr>
      </w:pPr>
      <w:bookmarkStart w:id="25" w:name="_Ref100929052"/>
      <w:bookmarkStart w:id="26" w:name="_Ref100942690"/>
      <w:r w:rsidRPr="00552C23">
        <w:t xml:space="preserve">Proposal </w:t>
      </w:r>
      <w:r w:rsidR="004E607F">
        <w:fldChar w:fldCharType="begin"/>
      </w:r>
      <w:r w:rsidR="004E607F">
        <w:instrText xml:space="preserve"> SEQ Proposal \* ARABIC </w:instrText>
      </w:r>
      <w:r w:rsidR="004E607F">
        <w:fldChar w:fldCharType="separate"/>
      </w:r>
      <w:r w:rsidRPr="00552C23">
        <w:rPr>
          <w:noProof/>
        </w:rPr>
        <w:t>1</w:t>
      </w:r>
      <w:r w:rsidR="004E607F">
        <w:rPr>
          <w:noProof/>
        </w:rPr>
        <w:fldChar w:fldCharType="end"/>
      </w:r>
      <w:bookmarkEnd w:id="25"/>
      <w:r w:rsidRPr="00552C23">
        <w:t xml:space="preserve">: </w:t>
      </w:r>
      <w:r w:rsidR="00CA1733" w:rsidRPr="00552C23">
        <w:t>For QZ size = 40 cm</w:t>
      </w:r>
      <w:r w:rsidR="00D11B90" w:rsidRPr="00552C23">
        <w:t xml:space="preserve"> and frequencies up to 40.8 GHz</w:t>
      </w:r>
      <w:r w:rsidR="00CA1733" w:rsidRPr="00552C23">
        <w:t xml:space="preserve">, define QoQZ uncertainty as </w:t>
      </w:r>
      <w:r w:rsidR="00D11B90" w:rsidRPr="00552C23">
        <w:t>0.3</w:t>
      </w:r>
      <w:r w:rsidR="00CA1733" w:rsidRPr="00552C23">
        <w:t xml:space="preserve"> dB larger than that of 30 cm QZ.</w:t>
      </w:r>
      <w:bookmarkEnd w:id="26"/>
    </w:p>
    <w:p w14:paraId="1F2C5557" w14:textId="4DF223D9" w:rsidR="00CA1733" w:rsidRDefault="00CA1733" w:rsidP="00CA1733">
      <w:pPr>
        <w:pStyle w:val="af0"/>
      </w:pPr>
      <w:bookmarkStart w:id="27" w:name="_Ref100929061"/>
      <w:bookmarkStart w:id="28" w:name="_Ref100942695"/>
      <w:r w:rsidRPr="00552C23">
        <w:t xml:space="preserve">Proposal </w:t>
      </w:r>
      <w:r w:rsidR="004E607F">
        <w:fldChar w:fldCharType="begin"/>
      </w:r>
      <w:r w:rsidR="004E607F">
        <w:instrText xml:space="preserve"> SEQ Proposal \* ARABIC </w:instrText>
      </w:r>
      <w:r w:rsidR="004E607F">
        <w:fldChar w:fldCharType="separate"/>
      </w:r>
      <w:r w:rsidRPr="00552C23">
        <w:rPr>
          <w:noProof/>
        </w:rPr>
        <w:t>2</w:t>
      </w:r>
      <w:r w:rsidR="004E607F">
        <w:rPr>
          <w:noProof/>
        </w:rPr>
        <w:fldChar w:fldCharType="end"/>
      </w:r>
      <w:bookmarkEnd w:id="27"/>
      <w:r w:rsidRPr="00552C23">
        <w:t>: For QZ size = 40 cm</w:t>
      </w:r>
      <w:r w:rsidR="00762B6F" w:rsidRPr="00552C23">
        <w:t xml:space="preserve"> and frequencies up to 40.8 GHz</w:t>
      </w:r>
      <w:r w:rsidRPr="00552C23">
        <w:t xml:space="preserve">, define XPD </w:t>
      </w:r>
      <w:r w:rsidR="00BD27C0" w:rsidRPr="00552C23">
        <w:t xml:space="preserve">uncertainty </w:t>
      </w:r>
      <w:r w:rsidRPr="00552C23">
        <w:t xml:space="preserve">as </w:t>
      </w:r>
      <w:r w:rsidR="00BD27C0" w:rsidRPr="00552C23">
        <w:t>0.03 dB</w:t>
      </w:r>
      <w:r w:rsidR="003709CF">
        <w:t xml:space="preserve"> for default test cases</w:t>
      </w:r>
      <w:r w:rsidRPr="00552C23">
        <w:t>.</w:t>
      </w:r>
      <w:bookmarkEnd w:id="28"/>
    </w:p>
    <w:p w14:paraId="44DD4D8C" w14:textId="03AA0E99" w:rsidR="002E4F55" w:rsidRDefault="002E4F55" w:rsidP="006E3C5E">
      <w:pPr>
        <w:spacing w:before="120" w:after="120"/>
        <w:rPr>
          <w:rFonts w:eastAsiaTheme="minorEastAsia"/>
        </w:rPr>
      </w:pPr>
    </w:p>
    <w:bookmarkEnd w:id="0"/>
    <w:p w14:paraId="7805E99F" w14:textId="5E261DB7" w:rsidR="001C0EF5" w:rsidRPr="005541AD" w:rsidRDefault="004E607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7CC819C2"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4EB6B991" w14:textId="6530208B" w:rsidR="00C500DF" w:rsidRPr="004136AD" w:rsidRDefault="00C500DF" w:rsidP="001C0EF5">
      <w:pPr>
        <w:spacing w:before="120" w:after="120"/>
        <w:rPr>
          <w:rFonts w:eastAsiaTheme="minorEastAsia"/>
          <w:b/>
          <w:bCs/>
          <w:lang w:val="en-GB"/>
        </w:rPr>
      </w:pPr>
      <w:r w:rsidRPr="00552C23">
        <w:rPr>
          <w:rFonts w:eastAsiaTheme="minorEastAsia"/>
          <w:b/>
          <w:bCs/>
          <w:lang w:val="en-GB"/>
        </w:rPr>
        <w:fldChar w:fldCharType="begin"/>
      </w:r>
      <w:r w:rsidRPr="00552C23">
        <w:rPr>
          <w:rFonts w:eastAsiaTheme="minorEastAsia"/>
          <w:b/>
          <w:bCs/>
          <w:lang w:val="en-GB"/>
        </w:rPr>
        <w:instrText xml:space="preserve"> REF _Ref100942690  \* MERGEFORMAT </w:instrText>
      </w:r>
      <w:r w:rsidRPr="00552C23">
        <w:rPr>
          <w:rFonts w:eastAsiaTheme="minorEastAsia"/>
          <w:b/>
          <w:bCs/>
          <w:lang w:val="en-GB"/>
        </w:rPr>
        <w:fldChar w:fldCharType="separate"/>
      </w:r>
      <w:r w:rsidR="00A972AA" w:rsidRPr="00A972AA">
        <w:rPr>
          <w:b/>
          <w:bCs/>
        </w:rPr>
        <w:t xml:space="preserve">Proposal </w:t>
      </w:r>
      <w:r w:rsidR="00A972AA" w:rsidRPr="00A972AA">
        <w:rPr>
          <w:b/>
          <w:bCs/>
          <w:noProof/>
        </w:rPr>
        <w:t>1</w:t>
      </w:r>
      <w:r w:rsidR="00A972AA" w:rsidRPr="00A972AA">
        <w:rPr>
          <w:b/>
          <w:bCs/>
        </w:rPr>
        <w:t>: For QZ size = 40 cm and frequencies up to 40.8 GHz, define QoQZ uncertainty as 0.3 dB larger than that of 30 cm QZ.</w:t>
      </w:r>
      <w:r w:rsidRPr="00552C23">
        <w:rPr>
          <w:rFonts w:eastAsiaTheme="minorEastAsia"/>
          <w:b/>
          <w:bCs/>
          <w:lang w:val="en-GB"/>
        </w:rPr>
        <w:fldChar w:fldCharType="end"/>
      </w:r>
    </w:p>
    <w:p w14:paraId="5B1AF1B4" w14:textId="3B583EF8" w:rsidR="00C500DF" w:rsidRPr="00A972AA" w:rsidRDefault="00C500DF" w:rsidP="001C0EF5">
      <w:pPr>
        <w:spacing w:before="120" w:after="120"/>
        <w:rPr>
          <w:rFonts w:eastAsiaTheme="minorEastAsia"/>
          <w:b/>
          <w:bCs/>
          <w:lang w:val="en-GB"/>
        </w:rPr>
      </w:pPr>
      <w:r w:rsidRPr="00A972AA">
        <w:rPr>
          <w:rFonts w:eastAsiaTheme="minorEastAsia"/>
          <w:b/>
          <w:bCs/>
          <w:lang w:val="en-GB"/>
        </w:rPr>
        <w:fldChar w:fldCharType="begin"/>
      </w:r>
      <w:r w:rsidRPr="00A972AA">
        <w:rPr>
          <w:rFonts w:eastAsiaTheme="minorEastAsia"/>
          <w:b/>
          <w:bCs/>
          <w:lang w:val="en-GB"/>
        </w:rPr>
        <w:instrText xml:space="preserve"> REF _Ref100942695  \* MERGEFORMAT </w:instrText>
      </w:r>
      <w:r w:rsidRPr="00A972AA">
        <w:rPr>
          <w:rFonts w:eastAsiaTheme="minorEastAsia"/>
          <w:b/>
          <w:bCs/>
          <w:lang w:val="en-GB"/>
        </w:rPr>
        <w:fldChar w:fldCharType="separate"/>
      </w:r>
      <w:r w:rsidR="00A972AA" w:rsidRPr="00A972AA">
        <w:rPr>
          <w:b/>
          <w:bCs/>
        </w:rPr>
        <w:t xml:space="preserve">Proposal </w:t>
      </w:r>
      <w:r w:rsidR="00A972AA" w:rsidRPr="00A972AA">
        <w:rPr>
          <w:b/>
          <w:bCs/>
          <w:noProof/>
        </w:rPr>
        <w:t>2</w:t>
      </w:r>
      <w:r w:rsidR="00A972AA" w:rsidRPr="00A972AA">
        <w:rPr>
          <w:b/>
          <w:bCs/>
        </w:rPr>
        <w:t>: For QZ size = 40 cm and frequencies up to 40.8 GHz, define XPD uncertainty as 0.03 dB for default test cases.</w:t>
      </w:r>
      <w:r w:rsidRPr="00A972AA">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0B16D0BC" w:rsidR="004766E2" w:rsidRDefault="004766E2" w:rsidP="007518E2">
      <w:pPr>
        <w:spacing w:before="120" w:after="12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Pr="004766E2">
        <w:rPr>
          <w:rFonts w:eastAsiaTheme="minorEastAsia"/>
        </w:rPr>
        <w:t>R5-211235</w:t>
      </w:r>
      <w:r>
        <w:rPr>
          <w:rFonts w:eastAsiaTheme="minorEastAsia"/>
        </w:rPr>
        <w:t>, “</w:t>
      </w:r>
      <w:r w:rsidRPr="004766E2">
        <w:rPr>
          <w:rFonts w:eastAsiaTheme="minorEastAsia"/>
        </w:rPr>
        <w:t>Discussion on the size of Quiet Zone above 30cm</w:t>
      </w:r>
      <w:r>
        <w:rPr>
          <w:rFonts w:eastAsiaTheme="minorEastAsia"/>
        </w:rPr>
        <w:t xml:space="preserve">”, </w:t>
      </w:r>
      <w:r w:rsidRPr="004766E2">
        <w:rPr>
          <w:rFonts w:eastAsiaTheme="minorEastAsia"/>
        </w:rPr>
        <w:t>Rohde &amp; Schwarz</w:t>
      </w:r>
      <w:r>
        <w:rPr>
          <w:rFonts w:eastAsiaTheme="minorEastAsia"/>
        </w:rPr>
        <w:t>, RAN5#90-e</w:t>
      </w:r>
    </w:p>
    <w:p w14:paraId="5C56B187" w14:textId="79F640CF" w:rsidR="00D22D85" w:rsidRDefault="00D22D85" w:rsidP="007518E2">
      <w:pPr>
        <w:spacing w:before="120" w:after="120"/>
        <w:rPr>
          <w:rFonts w:eastAsiaTheme="minorEastAsia"/>
        </w:rPr>
      </w:pPr>
      <w:r w:rsidRPr="00552C23">
        <w:rPr>
          <w:rFonts w:eastAsiaTheme="minorEastAsia" w:hint="eastAsia"/>
        </w:rPr>
        <w:t>[</w:t>
      </w:r>
      <w:r w:rsidR="00904E68">
        <w:rPr>
          <w:rFonts w:eastAsiaTheme="minorEastAsia"/>
        </w:rPr>
        <w:t>2</w:t>
      </w:r>
      <w:r w:rsidRPr="00552C23">
        <w:rPr>
          <w:rFonts w:eastAsiaTheme="minorEastAsia"/>
        </w:rPr>
        <w:t xml:space="preserve">] </w:t>
      </w:r>
      <w:r w:rsidR="00552C23" w:rsidRPr="00552C23">
        <w:rPr>
          <w:rFonts w:eastAsiaTheme="minorEastAsia"/>
        </w:rPr>
        <w:t>R5-223614</w:t>
      </w:r>
      <w:r w:rsidRPr="00552C23">
        <w:rPr>
          <w:rFonts w:eastAsiaTheme="minorEastAsia"/>
        </w:rPr>
        <w:t>, “On QoQZ for 40cm QZ”, Keysight Technologies, RAN5#95-e</w:t>
      </w:r>
    </w:p>
    <w:p w14:paraId="05BC5CAE" w14:textId="4F8213FE" w:rsidR="00904E68" w:rsidRDefault="00904E68" w:rsidP="007518E2">
      <w:pPr>
        <w:spacing w:before="120" w:after="120"/>
        <w:rPr>
          <w:rFonts w:eastAsiaTheme="minorEastAsia"/>
        </w:rPr>
      </w:pPr>
      <w:r w:rsidRPr="00552C23">
        <w:rPr>
          <w:rFonts w:eastAsiaTheme="minorEastAsia" w:hint="eastAsia"/>
        </w:rPr>
        <w:t>[</w:t>
      </w:r>
      <w:r>
        <w:rPr>
          <w:rFonts w:eastAsiaTheme="minorEastAsia"/>
        </w:rPr>
        <w:t>3</w:t>
      </w:r>
      <w:r w:rsidRPr="00552C23">
        <w:rPr>
          <w:rFonts w:eastAsiaTheme="minorEastAsia"/>
        </w:rPr>
        <w:t>] R5-22361</w:t>
      </w:r>
      <w:r>
        <w:rPr>
          <w:rFonts w:eastAsiaTheme="minorEastAsia"/>
        </w:rPr>
        <w:t>3</w:t>
      </w:r>
      <w:r w:rsidRPr="00552C23">
        <w:rPr>
          <w:rFonts w:eastAsiaTheme="minorEastAsia"/>
        </w:rPr>
        <w:t>, “</w:t>
      </w:r>
      <w:r>
        <w:rPr>
          <w:rFonts w:eastAsiaTheme="minorEastAsia"/>
        </w:rPr>
        <w:t>MU discussion on 40 cm Quiet Zone</w:t>
      </w:r>
      <w:r w:rsidRPr="00552C23">
        <w:rPr>
          <w:rFonts w:eastAsiaTheme="minorEastAsia"/>
        </w:rPr>
        <w:t xml:space="preserve">”, </w:t>
      </w:r>
      <w:r>
        <w:rPr>
          <w:rFonts w:eastAsiaTheme="minorEastAsia"/>
        </w:rPr>
        <w:t>Anritsu</w:t>
      </w:r>
      <w:r w:rsidRPr="00552C23">
        <w:rPr>
          <w:rFonts w:eastAsiaTheme="minorEastAsia"/>
        </w:rPr>
        <w:t>, RAN5#95-e</w:t>
      </w:r>
    </w:p>
    <w:p w14:paraId="6AA46517" w14:textId="77777777" w:rsidR="00880627" w:rsidRDefault="004E607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576B" w14:textId="77777777" w:rsidR="004E607F" w:rsidRDefault="004E607F" w:rsidP="00752C85">
      <w:pPr>
        <w:spacing w:before="120" w:after="120"/>
      </w:pPr>
      <w:r>
        <w:separator/>
      </w:r>
    </w:p>
    <w:p w14:paraId="09866FA1" w14:textId="77777777" w:rsidR="004E607F" w:rsidRDefault="004E607F" w:rsidP="00752C85">
      <w:pPr>
        <w:spacing w:before="120" w:after="120"/>
      </w:pPr>
    </w:p>
  </w:endnote>
  <w:endnote w:type="continuationSeparator" w:id="0">
    <w:p w14:paraId="7850DB53" w14:textId="77777777" w:rsidR="004E607F" w:rsidRDefault="004E607F" w:rsidP="00752C85">
      <w:pPr>
        <w:spacing w:before="120" w:after="120"/>
      </w:pPr>
      <w:r>
        <w:continuationSeparator/>
      </w:r>
    </w:p>
    <w:p w14:paraId="50FAFA09" w14:textId="77777777" w:rsidR="004E607F" w:rsidRDefault="004E607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CD2AB" w14:textId="77777777" w:rsidR="004E607F" w:rsidRDefault="004E607F" w:rsidP="00752C85">
      <w:pPr>
        <w:spacing w:before="120" w:after="120"/>
      </w:pPr>
      <w:r>
        <w:separator/>
      </w:r>
    </w:p>
    <w:p w14:paraId="013AB3A1" w14:textId="77777777" w:rsidR="004E607F" w:rsidRDefault="004E607F" w:rsidP="00752C85">
      <w:pPr>
        <w:spacing w:before="120" w:after="120"/>
      </w:pPr>
    </w:p>
  </w:footnote>
  <w:footnote w:type="continuationSeparator" w:id="0">
    <w:p w14:paraId="4A38DADC" w14:textId="77777777" w:rsidR="004E607F" w:rsidRDefault="004E607F" w:rsidP="00752C85">
      <w:pPr>
        <w:spacing w:before="120" w:after="120"/>
      </w:pPr>
      <w:r>
        <w:continuationSeparator/>
      </w:r>
    </w:p>
    <w:p w14:paraId="0230FEAB" w14:textId="77777777" w:rsidR="004E607F" w:rsidRDefault="004E607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3D515B7"/>
    <w:multiLevelType w:val="hybridMultilevel"/>
    <w:tmpl w:val="65167F9C"/>
    <w:lvl w:ilvl="0" w:tplc="BBBEED48">
      <w:numFmt w:val="bullet"/>
      <w:lvlText w:val="-"/>
      <w:lvlJc w:val="left"/>
      <w:pPr>
        <w:ind w:left="1780" w:hanging="360"/>
      </w:pPr>
      <w:rPr>
        <w:rFonts w:ascii="Times New Roman" w:eastAsiaTheme="minorEastAsia" w:hAnsi="Times New Roman" w:cs="Times New Roman" w:hint="default"/>
      </w:rPr>
    </w:lvl>
    <w:lvl w:ilvl="1" w:tplc="0409000B" w:tentative="1">
      <w:start w:val="1"/>
      <w:numFmt w:val="bullet"/>
      <w:lvlText w:val=""/>
      <w:lvlJc w:val="left"/>
      <w:pPr>
        <w:ind w:left="2260" w:hanging="420"/>
      </w:pPr>
      <w:rPr>
        <w:rFonts w:ascii="Wingdings" w:hAnsi="Wingdings" w:hint="default"/>
      </w:rPr>
    </w:lvl>
    <w:lvl w:ilvl="2" w:tplc="0409000D"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B" w:tentative="1">
      <w:start w:val="1"/>
      <w:numFmt w:val="bullet"/>
      <w:lvlText w:val=""/>
      <w:lvlJc w:val="left"/>
      <w:pPr>
        <w:ind w:left="3520" w:hanging="420"/>
      </w:pPr>
      <w:rPr>
        <w:rFonts w:ascii="Wingdings" w:hAnsi="Wingdings" w:hint="default"/>
      </w:rPr>
    </w:lvl>
    <w:lvl w:ilvl="5" w:tplc="0409000D"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B" w:tentative="1">
      <w:start w:val="1"/>
      <w:numFmt w:val="bullet"/>
      <w:lvlText w:val=""/>
      <w:lvlJc w:val="left"/>
      <w:pPr>
        <w:ind w:left="4780" w:hanging="420"/>
      </w:pPr>
      <w:rPr>
        <w:rFonts w:ascii="Wingdings" w:hAnsi="Wingdings" w:hint="default"/>
      </w:rPr>
    </w:lvl>
    <w:lvl w:ilvl="8" w:tplc="0409000D" w:tentative="1">
      <w:start w:val="1"/>
      <w:numFmt w:val="bullet"/>
      <w:lvlText w:val=""/>
      <w:lvlJc w:val="left"/>
      <w:pPr>
        <w:ind w:left="5200"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19"/>
  </w:num>
  <w:num w:numId="9">
    <w:abstractNumId w:val="31"/>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8"/>
  </w:num>
  <w:num w:numId="19">
    <w:abstractNumId w:val="3"/>
  </w:num>
  <w:num w:numId="20">
    <w:abstractNumId w:val="11"/>
  </w:num>
  <w:num w:numId="21">
    <w:abstractNumId w:val="12"/>
  </w:num>
  <w:num w:numId="22">
    <w:abstractNumId w:val="16"/>
  </w:num>
  <w:num w:numId="23">
    <w:abstractNumId w:val="26"/>
  </w:num>
  <w:num w:numId="24">
    <w:abstractNumId w:val="20"/>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81F"/>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87B"/>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9CF"/>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086"/>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6AD"/>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7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4D8"/>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C23"/>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09F"/>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DB0"/>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B6F"/>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6D7"/>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64E"/>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491"/>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97D"/>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E68"/>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C0"/>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2AA"/>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7C0"/>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756"/>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6C26"/>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1D"/>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5D3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1B90"/>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85"/>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3C8"/>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BEB"/>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72D"/>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5D7"/>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20"/>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506"/>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6CC"/>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17426</TotalTime>
  <Pages>2</Pages>
  <Words>453</Words>
  <Characters>2586</Characters>
  <Application>Microsoft Office Word</Application>
  <DocSecurity>0</DocSecurity>
  <Lines>21</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118</cp:revision>
  <cp:lastPrinted>2007-04-23T23:59:00Z</cp:lastPrinted>
  <dcterms:created xsi:type="dcterms:W3CDTF">2021-01-20T00:58:00Z</dcterms:created>
  <dcterms:modified xsi:type="dcterms:W3CDTF">2022-08-05T11:10:00Z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